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930" w:rsidRPr="00D25930" w:rsidRDefault="00D25930" w:rsidP="00D259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cs-CZ" w:eastAsia="cs-CZ"/>
        </w:rPr>
      </w:pPr>
      <w:r w:rsidRPr="00D2593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cs-CZ" w:eastAsia="cs-CZ"/>
        </w:rPr>
        <w:t>Antidopingový kodex České Asociace Teqballu z.s.</w:t>
      </w:r>
    </w:p>
    <w:p w:rsidR="00D25930" w:rsidRPr="00D25930" w:rsidRDefault="00D25930" w:rsidP="00D259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</w:pPr>
      <w:r w:rsidRPr="00D25930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>Článek I – Účel a působnost</w:t>
      </w:r>
    </w:p>
    <w:p w:rsidR="00D25930" w:rsidRPr="00D25930" w:rsidRDefault="00D25930" w:rsidP="00D259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259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Tento kodex stanovuje zásady boje proti dopingu v rámci činnosti CATEQ.</w:t>
      </w:r>
    </w:p>
    <w:p w:rsidR="00D25930" w:rsidRPr="00D25930" w:rsidRDefault="00D25930" w:rsidP="00D259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259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Je závazný pro všechny hráče, trenéry, funkcionáře a další osoby účastnící se akcí organizovaných nebo zaštítěných CATEQ.</w:t>
      </w:r>
    </w:p>
    <w:p w:rsidR="00D25930" w:rsidRPr="00D25930" w:rsidRDefault="00D25930" w:rsidP="00D259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259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Kodex vychází z pravidel Světové antidopingové agentury (WADA) a je v souladu s antidopingovým programem FITEQ.</w:t>
      </w:r>
    </w:p>
    <w:p w:rsidR="00D25930" w:rsidRPr="00D25930" w:rsidRDefault="00D25930" w:rsidP="00D259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</w:pPr>
      <w:r w:rsidRPr="00D25930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>Článek II – Definice dopingu</w:t>
      </w:r>
    </w:p>
    <w:p w:rsidR="00D25930" w:rsidRPr="00D25930" w:rsidRDefault="00D25930" w:rsidP="00D25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259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Za doping se považuje:</w:t>
      </w:r>
    </w:p>
    <w:p w:rsidR="00D25930" w:rsidRPr="00D25930" w:rsidRDefault="00D25930" w:rsidP="00D259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259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a) přítomnost zakázané látky v těle sportovce,</w:t>
      </w:r>
    </w:p>
    <w:p w:rsidR="00D25930" w:rsidRPr="00D25930" w:rsidRDefault="00D25930" w:rsidP="00D259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259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b) užití nebo pokus o užití zakázané látky nebo metody,</w:t>
      </w:r>
    </w:p>
    <w:p w:rsidR="00D25930" w:rsidRPr="00D25930" w:rsidRDefault="00D25930" w:rsidP="00D259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259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c) odmítnutí nebo vyhýbání se dopingové kontrole,</w:t>
      </w:r>
    </w:p>
    <w:p w:rsidR="00D25930" w:rsidRPr="00D25930" w:rsidRDefault="00D25930" w:rsidP="00D259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259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d) manipulace s dopingovým vzorkem nebo procesem kontroly,</w:t>
      </w:r>
    </w:p>
    <w:p w:rsidR="00D25930" w:rsidRPr="00D25930" w:rsidRDefault="00D25930" w:rsidP="00D259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259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e) držení, distribuce nebo napomáhání k dopingu,</w:t>
      </w:r>
    </w:p>
    <w:p w:rsidR="00D25930" w:rsidRPr="00D25930" w:rsidRDefault="00D25930" w:rsidP="00D259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259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f) porušení povinnosti hlásit užívání léků obsahujících zakázané látky.</w:t>
      </w:r>
    </w:p>
    <w:p w:rsidR="00D25930" w:rsidRPr="00D25930" w:rsidRDefault="00D25930" w:rsidP="00D25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259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Zakázané látky a metody jsou definovány v aktuálním Seznamu zakázaných látek WADA.</w:t>
      </w:r>
    </w:p>
    <w:p w:rsidR="00D25930" w:rsidRPr="00D25930" w:rsidRDefault="00D25930" w:rsidP="00D259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</w:pPr>
      <w:r w:rsidRPr="00D25930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>Článek III – Povinnosti sportovců</w:t>
      </w:r>
    </w:p>
    <w:p w:rsidR="00D25930" w:rsidRPr="00D25930" w:rsidRDefault="00D25930" w:rsidP="00D259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259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Sportovec je povinen:</w:t>
      </w:r>
    </w:p>
    <w:p w:rsidR="00D25930" w:rsidRPr="00D25930" w:rsidRDefault="00D25930" w:rsidP="00D2593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259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a) dodržovat antidopingová pravidla CATEQ, FITEQ a WADA,</w:t>
      </w:r>
    </w:p>
    <w:p w:rsidR="00D25930" w:rsidRPr="00D25930" w:rsidRDefault="00D25930" w:rsidP="00D2593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259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b) podrobit se dopingové kontrole, pokud je k ní vyzván,</w:t>
      </w:r>
    </w:p>
    <w:p w:rsidR="00D25930" w:rsidRPr="00D25930" w:rsidRDefault="00D25930" w:rsidP="00D2593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259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c) informovat CATEQ o užívání léků, které mohou obsahovat zakázané látky,</w:t>
      </w:r>
    </w:p>
    <w:p w:rsidR="00D25930" w:rsidRPr="00D25930" w:rsidRDefault="00D25930" w:rsidP="00D2593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259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d) chránit čistotu sportu a jednat v souladu s fair play.</w:t>
      </w:r>
    </w:p>
    <w:p w:rsidR="00D25930" w:rsidRPr="00D25930" w:rsidRDefault="00D25930" w:rsidP="00D259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259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Sportovec je odpovědný za vše, co se nachází v jeho těle – princip „přísné odpovědnosti“.</w:t>
      </w:r>
    </w:p>
    <w:p w:rsidR="00D25930" w:rsidRPr="00D25930" w:rsidRDefault="00D25930" w:rsidP="00D259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</w:pPr>
      <w:r w:rsidRPr="00D25930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>Článek IV – Testování</w:t>
      </w:r>
    </w:p>
    <w:p w:rsidR="00D25930" w:rsidRPr="00D25930" w:rsidRDefault="00D25930" w:rsidP="00D259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259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Dopingové kontroly mohou být prováděny:</w:t>
      </w:r>
    </w:p>
    <w:p w:rsidR="00D25930" w:rsidRPr="00D25930" w:rsidRDefault="00D25930" w:rsidP="00D2593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259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a) na akcích organizovaných CATEQ,</w:t>
      </w:r>
    </w:p>
    <w:p w:rsidR="00D25930" w:rsidRPr="00D25930" w:rsidRDefault="00D25930" w:rsidP="00D2593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259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b) na reprezentačních soustředěních,</w:t>
      </w:r>
    </w:p>
    <w:p w:rsidR="00D25930" w:rsidRPr="00D25930" w:rsidRDefault="00D25930" w:rsidP="00D2593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259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c) kdykoli na základě podezření nebo požadavku FITEQ/WADA.</w:t>
      </w:r>
    </w:p>
    <w:p w:rsidR="00D25930" w:rsidRDefault="00D25930" w:rsidP="00D259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259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Kontroly provádí akreditované subjekty (např. Antidopingový výbor ČR, FITEQ, WADA).</w:t>
      </w:r>
    </w:p>
    <w:p w:rsidR="00D25930" w:rsidRPr="00D25930" w:rsidRDefault="00D25930" w:rsidP="00D25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D25930" w:rsidRPr="00D25930" w:rsidRDefault="00D25930" w:rsidP="00D259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</w:pPr>
      <w:r w:rsidRPr="00D25930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lastRenderedPageBreak/>
        <w:t>Článek V – Sankce</w:t>
      </w:r>
    </w:p>
    <w:p w:rsidR="00D25930" w:rsidRPr="00D25930" w:rsidRDefault="00D25930" w:rsidP="00D259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259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Porušení antidopingového kodexu může vést k:</w:t>
      </w:r>
    </w:p>
    <w:p w:rsidR="00D25930" w:rsidRPr="00D25930" w:rsidRDefault="00D25930" w:rsidP="00D2593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259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a) dočasnému pozastavení činnosti,</w:t>
      </w:r>
    </w:p>
    <w:p w:rsidR="00D25930" w:rsidRPr="00D25930" w:rsidRDefault="00D25930" w:rsidP="00D2593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259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b) vyloučení z reprezentace,</w:t>
      </w:r>
    </w:p>
    <w:p w:rsidR="00D25930" w:rsidRPr="00D25930" w:rsidRDefault="00D25930" w:rsidP="00D2593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259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c) vyloučení z CATEQ,</w:t>
      </w:r>
    </w:p>
    <w:p w:rsidR="00D25930" w:rsidRPr="00D25930" w:rsidRDefault="00D25930" w:rsidP="00D2593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259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d) oznámení FITEQ, WADA a případně veřejnosti.</w:t>
      </w:r>
    </w:p>
    <w:p w:rsidR="00D25930" w:rsidRPr="00D25930" w:rsidRDefault="00D25930" w:rsidP="00D259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259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Výše a délka sankce se řídí pravidly WADA a FITEQ.</w:t>
      </w:r>
    </w:p>
    <w:p w:rsidR="00D25930" w:rsidRPr="00D25930" w:rsidRDefault="00D25930" w:rsidP="00D259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</w:pPr>
      <w:r w:rsidRPr="00D25930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>Článek VI – Odvolání</w:t>
      </w:r>
    </w:p>
    <w:p w:rsidR="00D25930" w:rsidRPr="00D25930" w:rsidRDefault="00D25930" w:rsidP="00D259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259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Sportovec má právo se proti rozhodnutí odvolat k výboru CATEQ.</w:t>
      </w:r>
    </w:p>
    <w:p w:rsidR="00D25930" w:rsidRPr="00D25930" w:rsidRDefault="00D25930" w:rsidP="00D259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259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 případě mezinárodních kontrol se odvolání řídí postupem FITEQ/WADA.</w:t>
      </w:r>
    </w:p>
    <w:p w:rsidR="00D25930" w:rsidRPr="00D25930" w:rsidRDefault="00D25930" w:rsidP="00D259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</w:pPr>
      <w:r w:rsidRPr="00D25930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>Článek VII – Závěrečná ustanovení</w:t>
      </w:r>
    </w:p>
    <w:p w:rsidR="00D25930" w:rsidRPr="00D25930" w:rsidRDefault="00D25930" w:rsidP="00D259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259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Tento kodex nabývá účinnosti dnem schválení výborem CATEQ.</w:t>
      </w:r>
    </w:p>
    <w:p w:rsidR="00D25930" w:rsidRPr="00D25930" w:rsidRDefault="00D25930" w:rsidP="00D259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259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Výbor může kodex kdykoli upravit nebo doplnit v souladu s aktualizacemi WADA.</w:t>
      </w:r>
    </w:p>
    <w:p w:rsidR="00D25930" w:rsidRPr="00D25930" w:rsidRDefault="00D25930" w:rsidP="00D259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259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Kodex bude zveřejněn členům prostřednictvím e-mailu a webových stránek asociace.</w:t>
      </w:r>
    </w:p>
    <w:p w:rsidR="0006564F" w:rsidRDefault="00AB6821">
      <w:bookmarkStart w:id="0" w:name="_GoBack"/>
      <w:bookmarkEnd w:id="0"/>
    </w:p>
    <w:sectPr w:rsidR="0006564F">
      <w:foot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821" w:rsidRDefault="00AB6821" w:rsidP="00326AAA">
      <w:pPr>
        <w:spacing w:after="0" w:line="240" w:lineRule="auto"/>
      </w:pPr>
      <w:r>
        <w:separator/>
      </w:r>
    </w:p>
  </w:endnote>
  <w:endnote w:type="continuationSeparator" w:id="0">
    <w:p w:rsidR="00AB6821" w:rsidRDefault="00AB6821" w:rsidP="00326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AAA" w:rsidRDefault="00326AAA">
    <w:pPr>
      <w:pStyle w:val="Footer"/>
    </w:pPr>
    <w:r>
      <w:tab/>
    </w:r>
    <w:r>
      <w:tab/>
      <w:t xml:space="preserve">V </w:t>
    </w:r>
    <w:proofErr w:type="spellStart"/>
    <w:r>
      <w:t>Pardubicích</w:t>
    </w:r>
    <w:proofErr w:type="spellEnd"/>
    <w:r>
      <w:t xml:space="preserve"> </w:t>
    </w:r>
    <w:r w:rsidR="007277C9">
      <w:t>1.11</w:t>
    </w:r>
    <w: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821" w:rsidRDefault="00AB6821" w:rsidP="00326AAA">
      <w:pPr>
        <w:spacing w:after="0" w:line="240" w:lineRule="auto"/>
      </w:pPr>
      <w:r>
        <w:separator/>
      </w:r>
    </w:p>
  </w:footnote>
  <w:footnote w:type="continuationSeparator" w:id="0">
    <w:p w:rsidR="00AB6821" w:rsidRDefault="00AB6821" w:rsidP="00326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5785"/>
    <w:multiLevelType w:val="multilevel"/>
    <w:tmpl w:val="80247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C6424"/>
    <w:multiLevelType w:val="multilevel"/>
    <w:tmpl w:val="1D58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75B1E"/>
    <w:multiLevelType w:val="multilevel"/>
    <w:tmpl w:val="A7700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F84206"/>
    <w:multiLevelType w:val="multilevel"/>
    <w:tmpl w:val="553A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2E227E"/>
    <w:multiLevelType w:val="multilevel"/>
    <w:tmpl w:val="0E563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943F0D"/>
    <w:multiLevelType w:val="multilevel"/>
    <w:tmpl w:val="4666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0E108E"/>
    <w:multiLevelType w:val="multilevel"/>
    <w:tmpl w:val="956A7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30"/>
    <w:rsid w:val="002B2871"/>
    <w:rsid w:val="00326AAA"/>
    <w:rsid w:val="007277C9"/>
    <w:rsid w:val="00AB6821"/>
    <w:rsid w:val="00CF375E"/>
    <w:rsid w:val="00D25930"/>
    <w:rsid w:val="00DE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7B63B1"/>
  <w15:chartTrackingRefBased/>
  <w15:docId w15:val="{71E7D58C-728A-4B82-9CA9-0727B1D6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259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Heading2">
    <w:name w:val="heading 2"/>
    <w:basedOn w:val="Normal"/>
    <w:link w:val="Heading2Char"/>
    <w:uiPriority w:val="9"/>
    <w:qFormat/>
    <w:rsid w:val="00D259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930"/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D25930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styleId="NormalWeb">
    <w:name w:val="Normal (Web)"/>
    <w:basedOn w:val="Normal"/>
    <w:uiPriority w:val="99"/>
    <w:semiHidden/>
    <w:unhideWhenUsed/>
    <w:rsid w:val="00D2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eader">
    <w:name w:val="header"/>
    <w:basedOn w:val="Normal"/>
    <w:link w:val="HeaderChar"/>
    <w:uiPriority w:val="99"/>
    <w:unhideWhenUsed/>
    <w:rsid w:val="00326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AAA"/>
  </w:style>
  <w:style w:type="paragraph" w:styleId="Footer">
    <w:name w:val="footer"/>
    <w:basedOn w:val="Normal"/>
    <w:link w:val="FooterChar"/>
    <w:uiPriority w:val="99"/>
    <w:unhideWhenUsed/>
    <w:rsid w:val="00326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1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Foxconn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Baca</dc:creator>
  <cp:keywords/>
  <dc:description/>
  <cp:lastModifiedBy>Vlastimil Baca</cp:lastModifiedBy>
  <cp:revision>4</cp:revision>
  <dcterms:created xsi:type="dcterms:W3CDTF">2025-10-21T06:53:00Z</dcterms:created>
  <dcterms:modified xsi:type="dcterms:W3CDTF">2025-11-05T06:51:00Z</dcterms:modified>
</cp:coreProperties>
</file>